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17" w:rsidRDefault="00E52B17" w:rsidP="00E52B17">
      <w:pPr>
        <w:widowControl w:val="0"/>
        <w:autoSpaceDE w:val="0"/>
        <w:autoSpaceDN w:val="0"/>
        <w:adjustRightInd w:val="0"/>
        <w:rPr>
          <w:rFonts w:ascii="Arial" w:hAnsi="Arial" w:cs="Arial"/>
          <w:sz w:val="28"/>
          <w:szCs w:val="28"/>
        </w:rPr>
      </w:pPr>
      <w:r>
        <w:rPr>
          <w:rFonts w:ascii="Arial" w:hAnsi="Arial" w:cs="Arial"/>
          <w:noProof/>
          <w:sz w:val="28"/>
          <w:szCs w:val="28"/>
        </w:rPr>
        <w:drawing>
          <wp:inline distT="0" distB="0" distL="0" distR="0">
            <wp:extent cx="2116455" cy="736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6455" cy="736600"/>
                    </a:xfrm>
                    <a:prstGeom prst="rect">
                      <a:avLst/>
                    </a:prstGeom>
                    <a:noFill/>
                    <a:ln>
                      <a:noFill/>
                    </a:ln>
                  </pic:spPr>
                </pic:pic>
              </a:graphicData>
            </a:graphic>
          </wp:inline>
        </w:drawing>
      </w:r>
    </w:p>
    <w:p w:rsidR="00E52B17" w:rsidRDefault="00E52B17" w:rsidP="00E52B17">
      <w:pPr>
        <w:widowControl w:val="0"/>
        <w:autoSpaceDE w:val="0"/>
        <w:autoSpaceDN w:val="0"/>
        <w:adjustRightInd w:val="0"/>
        <w:jc w:val="center"/>
        <w:rPr>
          <w:rFonts w:ascii="Calibri" w:hAnsi="Calibri" w:cs="Calibri"/>
          <w:sz w:val="29"/>
          <w:szCs w:val="29"/>
        </w:rPr>
      </w:pPr>
      <w:r>
        <w:rPr>
          <w:rFonts w:ascii="Arial" w:hAnsi="Arial" w:cs="Arial"/>
          <w:sz w:val="32"/>
          <w:szCs w:val="32"/>
        </w:rPr>
        <w:t>          </w:t>
      </w:r>
    </w:p>
    <w:p w:rsidR="00E52B17" w:rsidRPr="00E52B17" w:rsidRDefault="00E52B17" w:rsidP="00E52B17">
      <w:pPr>
        <w:widowControl w:val="0"/>
        <w:autoSpaceDE w:val="0"/>
        <w:autoSpaceDN w:val="0"/>
        <w:adjustRightInd w:val="0"/>
        <w:jc w:val="center"/>
        <w:rPr>
          <w:rFonts w:ascii="Calibri" w:hAnsi="Calibri" w:cs="Calibri"/>
          <w:color w:val="FF0000"/>
          <w:sz w:val="29"/>
          <w:szCs w:val="29"/>
        </w:rPr>
      </w:pPr>
      <w:r w:rsidRPr="00E52B17">
        <w:rPr>
          <w:rFonts w:ascii="Arial" w:hAnsi="Arial" w:cs="Arial"/>
          <w:color w:val="FF0000"/>
          <w:sz w:val="32"/>
          <w:szCs w:val="32"/>
        </w:rPr>
        <w:t>Not For Distribution</w:t>
      </w:r>
      <w:r w:rsidRPr="00E52B17">
        <w:rPr>
          <w:rFonts w:ascii="Arial" w:hAnsi="Arial" w:cs="Arial"/>
          <w:color w:val="FF0000"/>
          <w:sz w:val="32"/>
          <w:szCs w:val="32"/>
        </w:rPr>
        <w:t> </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b/>
          <w:bCs/>
          <w:sz w:val="32"/>
          <w:szCs w:val="32"/>
        </w:rPr>
        <w:t>DATE:            </w:t>
      </w:r>
      <w:r>
        <w:rPr>
          <w:rFonts w:ascii="Arial" w:hAnsi="Arial" w:cs="Arial"/>
          <w:sz w:val="32"/>
          <w:szCs w:val="32"/>
        </w:rPr>
        <w:t>February 2, 2017</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b/>
          <w:bCs/>
          <w:sz w:val="32"/>
          <w:szCs w:val="32"/>
        </w:rPr>
        <w:t> TO:                 </w:t>
      </w:r>
      <w:r>
        <w:rPr>
          <w:rFonts w:ascii="Arial" w:hAnsi="Arial" w:cs="Arial"/>
          <w:sz w:val="32"/>
          <w:szCs w:val="32"/>
        </w:rPr>
        <w:t>Chemicals and Product Stewardship Subcommittee</w:t>
      </w:r>
    </w:p>
    <w:p w:rsidR="00E52B17" w:rsidRDefault="00E52B17" w:rsidP="00E52B17">
      <w:pPr>
        <w:widowControl w:val="0"/>
        <w:autoSpaceDE w:val="0"/>
        <w:autoSpaceDN w:val="0"/>
        <w:adjustRightInd w:val="0"/>
        <w:rPr>
          <w:rFonts w:ascii="Arial" w:hAnsi="Arial" w:cs="Arial"/>
          <w:sz w:val="32"/>
          <w:szCs w:val="32"/>
        </w:rPr>
      </w:pPr>
      <w:r>
        <w:rPr>
          <w:rFonts w:ascii="Arial" w:hAnsi="Arial" w:cs="Arial"/>
          <w:sz w:val="32"/>
          <w:szCs w:val="32"/>
        </w:rPr>
        <w:t>Bleached/Recycled Paperboard Sectors</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sz w:val="32"/>
          <w:szCs w:val="32"/>
        </w:rPr>
        <w:t>            Containerboard/Kraft Sector</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sz w:val="32"/>
          <w:szCs w:val="32"/>
        </w:rPr>
        <w:t> </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b/>
          <w:bCs/>
          <w:sz w:val="32"/>
          <w:szCs w:val="32"/>
        </w:rPr>
        <w:t>FROM:           </w:t>
      </w:r>
      <w:r>
        <w:rPr>
          <w:rFonts w:ascii="Arial" w:hAnsi="Arial" w:cs="Arial"/>
          <w:sz w:val="32"/>
          <w:szCs w:val="32"/>
        </w:rPr>
        <w:t>Stewart Holm</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sz w:val="32"/>
          <w:szCs w:val="32"/>
        </w:rPr>
        <w:t xml:space="preserve">                        Brian </w:t>
      </w:r>
      <w:proofErr w:type="spellStart"/>
      <w:r>
        <w:rPr>
          <w:rFonts w:ascii="Arial" w:hAnsi="Arial" w:cs="Arial"/>
          <w:sz w:val="32"/>
          <w:szCs w:val="32"/>
        </w:rPr>
        <w:t>Hawkinson</w:t>
      </w:r>
      <w:proofErr w:type="spellEnd"/>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sz w:val="32"/>
          <w:szCs w:val="32"/>
        </w:rPr>
        <w:t>                        Gretchen Spear</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b/>
          <w:bCs/>
          <w:sz w:val="32"/>
          <w:szCs w:val="32"/>
        </w:rPr>
        <w:t xml:space="preserve"> RE: FYI New scientific article and press reports on </w:t>
      </w:r>
      <w:proofErr w:type="spellStart"/>
      <w:r>
        <w:rPr>
          <w:rFonts w:ascii="Arial" w:hAnsi="Arial" w:cs="Arial"/>
          <w:b/>
          <w:bCs/>
          <w:sz w:val="32"/>
          <w:szCs w:val="32"/>
        </w:rPr>
        <w:t>perfluorinated</w:t>
      </w:r>
      <w:proofErr w:type="spellEnd"/>
      <w:r>
        <w:rPr>
          <w:rFonts w:ascii="Arial" w:hAnsi="Arial" w:cs="Arial"/>
          <w:b/>
          <w:bCs/>
          <w:sz w:val="32"/>
          <w:szCs w:val="32"/>
        </w:rPr>
        <w:t xml:space="preserve"> alkyl substances (PFAS) in paper packaging</w:t>
      </w:r>
    </w:p>
    <w:tbl>
      <w:tblPr>
        <w:tblW w:w="0" w:type="auto"/>
        <w:tblBorders>
          <w:top w:val="nil"/>
          <w:left w:val="nil"/>
          <w:right w:val="nil"/>
        </w:tblBorders>
        <w:tblLayout w:type="fixed"/>
        <w:tblLook w:val="0000" w:firstRow="0" w:lastRow="0" w:firstColumn="0" w:lastColumn="0" w:noHBand="0" w:noVBand="0"/>
      </w:tblPr>
      <w:tblGrid>
        <w:gridCol w:w="236"/>
        <w:gridCol w:w="4320"/>
      </w:tblGrid>
      <w:tr w:rsidR="00E52B17" w:rsidTr="00E52B17">
        <w:tblPrEx>
          <w:tblCellMar>
            <w:top w:w="0" w:type="dxa"/>
            <w:bottom w:w="0" w:type="dxa"/>
          </w:tblCellMar>
        </w:tblPrEx>
        <w:tc>
          <w:tcPr>
            <w:tcW w:w="80" w:type="dxa"/>
            <w:gridSpan w:val="2"/>
            <w:vAlign w:val="center"/>
          </w:tcPr>
          <w:p w:rsidR="00E52B17" w:rsidRDefault="00E52B17">
            <w:pPr>
              <w:widowControl w:val="0"/>
              <w:autoSpaceDE w:val="0"/>
              <w:autoSpaceDN w:val="0"/>
              <w:adjustRightInd w:val="0"/>
              <w:rPr>
                <w:rFonts w:ascii="Calibri" w:hAnsi="Calibri" w:cs="Calibri"/>
                <w:sz w:val="28"/>
                <w:szCs w:val="28"/>
              </w:rPr>
            </w:pPr>
          </w:p>
        </w:tc>
      </w:tr>
      <w:tr w:rsidR="00E52B17">
        <w:tblPrEx>
          <w:tblCellMar>
            <w:top w:w="0" w:type="dxa"/>
            <w:bottom w:w="0" w:type="dxa"/>
          </w:tblCellMar>
        </w:tblPrEx>
        <w:tc>
          <w:tcPr>
            <w:tcW w:w="80" w:type="dxa"/>
            <w:vAlign w:val="center"/>
          </w:tcPr>
          <w:p w:rsidR="00E52B17" w:rsidRDefault="00E52B17">
            <w:pPr>
              <w:widowControl w:val="0"/>
              <w:autoSpaceDE w:val="0"/>
              <w:autoSpaceDN w:val="0"/>
              <w:adjustRightInd w:val="0"/>
              <w:rPr>
                <w:rFonts w:ascii="Calibri" w:hAnsi="Calibri" w:cs="Calibri"/>
                <w:sz w:val="28"/>
                <w:szCs w:val="28"/>
              </w:rPr>
            </w:pPr>
          </w:p>
        </w:tc>
        <w:tc>
          <w:tcPr>
            <w:tcW w:w="4320" w:type="dxa"/>
            <w:vAlign w:val="center"/>
          </w:tcPr>
          <w:p w:rsidR="00E52B17" w:rsidRDefault="00E52B17">
            <w:pPr>
              <w:widowControl w:val="0"/>
              <w:autoSpaceDE w:val="0"/>
              <w:autoSpaceDN w:val="0"/>
              <w:adjustRightInd w:val="0"/>
              <w:rPr>
                <w:rFonts w:ascii="Calibri" w:hAnsi="Calibri" w:cs="Calibri"/>
                <w:sz w:val="28"/>
                <w:szCs w:val="28"/>
              </w:rPr>
            </w:pPr>
          </w:p>
        </w:tc>
      </w:tr>
    </w:tbl>
    <w:p w:rsidR="00E52B17" w:rsidRDefault="00E52B17" w:rsidP="00E52B17">
      <w:pPr>
        <w:widowControl w:val="0"/>
        <w:autoSpaceDE w:val="0"/>
        <w:autoSpaceDN w:val="0"/>
        <w:adjustRightInd w:val="0"/>
        <w:rPr>
          <w:rFonts w:ascii="Arial" w:hAnsi="Arial" w:cs="Arial"/>
          <w:sz w:val="28"/>
          <w:szCs w:val="28"/>
        </w:rPr>
      </w:pPr>
      <w:r>
        <w:rPr>
          <w:rFonts w:ascii="Arial" w:hAnsi="Arial" w:cs="Arial"/>
          <w:noProof/>
          <w:sz w:val="28"/>
          <w:szCs w:val="28"/>
        </w:rPr>
        <w:drawing>
          <wp:inline distT="0" distB="0" distL="0" distR="0">
            <wp:extent cx="6019800" cy="425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0" cy="42545"/>
                    </a:xfrm>
                    <a:prstGeom prst="rect">
                      <a:avLst/>
                    </a:prstGeom>
                    <a:noFill/>
                    <a:ln>
                      <a:noFill/>
                    </a:ln>
                  </pic:spPr>
                </pic:pic>
              </a:graphicData>
            </a:graphic>
          </wp:inline>
        </w:drawing>
      </w:r>
    </w:p>
    <w:tbl>
      <w:tblPr>
        <w:tblW w:w="0" w:type="auto"/>
        <w:tblBorders>
          <w:top w:val="nil"/>
          <w:left w:val="nil"/>
          <w:right w:val="nil"/>
        </w:tblBorders>
        <w:tblLayout w:type="fixed"/>
        <w:tblLook w:val="0000" w:firstRow="0" w:lastRow="0" w:firstColumn="0" w:lastColumn="0" w:noHBand="0" w:noVBand="0"/>
      </w:tblPr>
      <w:tblGrid>
        <w:gridCol w:w="8748"/>
      </w:tblGrid>
      <w:tr w:rsidR="00E52B17">
        <w:tblPrEx>
          <w:tblCellMar>
            <w:top w:w="0" w:type="dxa"/>
            <w:bottom w:w="0" w:type="dxa"/>
          </w:tblCellMar>
        </w:tblPrEx>
        <w:tc>
          <w:tcPr>
            <w:tcW w:w="8748" w:type="dxa"/>
            <w:vAlign w:val="center"/>
          </w:tcPr>
          <w:p w:rsidR="00E52B17" w:rsidRDefault="00E52B17">
            <w:pPr>
              <w:widowControl w:val="0"/>
              <w:autoSpaceDE w:val="0"/>
              <w:autoSpaceDN w:val="0"/>
              <w:adjustRightInd w:val="0"/>
              <w:rPr>
                <w:rFonts w:ascii="Calibri" w:hAnsi="Calibri" w:cs="Calibri"/>
                <w:sz w:val="28"/>
                <w:szCs w:val="28"/>
              </w:rPr>
            </w:pPr>
          </w:p>
        </w:tc>
      </w:tr>
    </w:tbl>
    <w:p w:rsidR="00E52B17" w:rsidRDefault="00E52B17" w:rsidP="00E52B17">
      <w:pPr>
        <w:widowControl w:val="0"/>
        <w:autoSpaceDE w:val="0"/>
        <w:autoSpaceDN w:val="0"/>
        <w:adjustRightInd w:val="0"/>
        <w:rPr>
          <w:rFonts w:ascii="Calibri" w:hAnsi="Calibri" w:cs="Calibri"/>
          <w:sz w:val="29"/>
          <w:szCs w:val="29"/>
        </w:rPr>
      </w:pPr>
      <w:r>
        <w:rPr>
          <w:rFonts w:ascii="Arial" w:hAnsi="Arial" w:cs="Arial"/>
          <w:sz w:val="32"/>
          <w:szCs w:val="32"/>
        </w:rPr>
        <w:t> </w:t>
      </w:r>
      <w:r>
        <w:rPr>
          <w:rFonts w:ascii="Arial" w:hAnsi="Arial" w:cs="Arial"/>
          <w:b/>
          <w:bCs/>
          <w:sz w:val="32"/>
          <w:szCs w:val="32"/>
          <w:u w:val="single"/>
        </w:rPr>
        <w:t>PURPOSE: </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sz w:val="32"/>
          <w:szCs w:val="32"/>
        </w:rPr>
        <w:t>To update members on a new scientific study by the Silent Spring Institute on the detection of PFAS compounds in a variety of paper packaging. These chemicals are alleged to have a variety of health concerns.  </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b/>
          <w:bCs/>
          <w:sz w:val="32"/>
          <w:szCs w:val="32"/>
          <w:u w:val="single"/>
        </w:rPr>
        <w:t>BACKGROUND:</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sz w:val="32"/>
          <w:szCs w:val="32"/>
        </w:rPr>
        <w:t xml:space="preserve">On February 1, the manuscript, “Fluorine Compounds in US Fast Food Packaging” was published in the journal Environmental Science &amp; Technology letters. In the article, it was reported that </w:t>
      </w:r>
      <w:proofErr w:type="gramStart"/>
      <w:r>
        <w:rPr>
          <w:rFonts w:ascii="Arial" w:hAnsi="Arial" w:cs="Arial"/>
          <w:sz w:val="32"/>
          <w:szCs w:val="32"/>
        </w:rPr>
        <w:t>dessert</w:t>
      </w:r>
      <w:proofErr w:type="gramEnd"/>
      <w:r>
        <w:rPr>
          <w:rFonts w:ascii="Arial" w:hAnsi="Arial" w:cs="Arial"/>
          <w:sz w:val="32"/>
          <w:szCs w:val="32"/>
        </w:rPr>
        <w:t xml:space="preserve"> and bread wrappers, sandwich and burger wrappers, and paperboard all contained PFAS compounds. The study does not distinguish between older and modern PFAS substances. Basically, in the US, the older technology C8 compounds have been replaced and </w:t>
      </w:r>
      <w:proofErr w:type="gramStart"/>
      <w:r>
        <w:rPr>
          <w:rFonts w:ascii="Arial" w:hAnsi="Arial" w:cs="Arial"/>
          <w:sz w:val="32"/>
          <w:szCs w:val="32"/>
        </w:rPr>
        <w:lastRenderedPageBreak/>
        <w:t>some have been banned by the FDA</w:t>
      </w:r>
      <w:proofErr w:type="gramEnd"/>
      <w:r>
        <w:rPr>
          <w:rFonts w:ascii="Arial" w:hAnsi="Arial" w:cs="Arial"/>
          <w:sz w:val="32"/>
          <w:szCs w:val="32"/>
        </w:rPr>
        <w:t>. For example, on January 4, 2016, FDA announced it amended the food additive regulations to no longer allow the use of three specific PFAS containing food-contact substances as oil and water repellants for paper and paperboard food contact packaging for aqueous and fatty foods. FDA based its action on new data FDA believes demonstrates there no longer is a reasonable certainty of no harm from the food-contact use of these chemicals. </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sz w:val="32"/>
          <w:szCs w:val="32"/>
        </w:rPr>
        <w:t> </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b/>
          <w:bCs/>
          <w:sz w:val="32"/>
          <w:szCs w:val="32"/>
          <w:u w:val="single"/>
        </w:rPr>
        <w:t>DISCUSSION:</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sz w:val="32"/>
          <w:szCs w:val="32"/>
        </w:rPr>
        <w:t>Importantly, the Silent Spring study used an inexpensive method of detecting only fluorine in these paper product coatings.  Consequently, the overall study results could not designate if the fluorine was incorporated into older, long-chain fluorinated chemistries such as PFOA and PFOS or modern, short-chain PFAS chemicals that have been approved by the FDA and used by member companies. However, a more in-depth analysis was conducted on a smaller group of samples to determine the specific identity of the substances in the paper coating. In this test, a few samples were reported to contain the older technology substance PFOA. This could be due to imported products where other scientific studies have reported the continued presence of these substances.</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sz w:val="32"/>
          <w:szCs w:val="32"/>
        </w:rPr>
        <w:t> </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sz w:val="32"/>
          <w:szCs w:val="32"/>
        </w:rPr>
        <w:t>FDA has responded to the study stating that, “the agency has carefully reviewed the available science on the short-chain compounds and hasn’t identified any safety concerns and that FDA continues to review emerging science.”   </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sz w:val="32"/>
          <w:szCs w:val="32"/>
        </w:rPr>
        <w:t> </w:t>
      </w:r>
    </w:p>
    <w:p w:rsidR="00E52B17" w:rsidRDefault="00E52B17" w:rsidP="00E52B17">
      <w:pPr>
        <w:widowControl w:val="0"/>
        <w:autoSpaceDE w:val="0"/>
        <w:autoSpaceDN w:val="0"/>
        <w:adjustRightInd w:val="0"/>
        <w:rPr>
          <w:rFonts w:ascii="Calibri" w:hAnsi="Calibri" w:cs="Calibri"/>
          <w:sz w:val="29"/>
          <w:szCs w:val="29"/>
        </w:rPr>
      </w:pPr>
      <w:r>
        <w:rPr>
          <w:rFonts w:ascii="Arial" w:hAnsi="Arial" w:cs="Arial"/>
          <w:b/>
          <w:bCs/>
          <w:sz w:val="32"/>
          <w:szCs w:val="32"/>
          <w:u w:val="single"/>
        </w:rPr>
        <w:t>RECOMMENDATION:</w:t>
      </w:r>
    </w:p>
    <w:p w:rsidR="00E52B17" w:rsidRDefault="00E52B17" w:rsidP="00E52B17">
      <w:pPr>
        <w:widowControl w:val="0"/>
        <w:autoSpaceDE w:val="0"/>
        <w:autoSpaceDN w:val="0"/>
        <w:adjustRightInd w:val="0"/>
        <w:rPr>
          <w:rFonts w:ascii="Calibri" w:hAnsi="Calibri" w:cs="Calibri"/>
          <w:sz w:val="29"/>
          <w:szCs w:val="29"/>
        </w:rPr>
      </w:pPr>
      <w:proofErr w:type="gramStart"/>
      <w:r>
        <w:rPr>
          <w:rFonts w:ascii="Arial" w:hAnsi="Arial" w:cs="Arial"/>
          <w:sz w:val="32"/>
          <w:szCs w:val="32"/>
        </w:rPr>
        <w:t>None at this time.</w:t>
      </w:r>
      <w:proofErr w:type="gramEnd"/>
      <w:r>
        <w:rPr>
          <w:rFonts w:ascii="Arial" w:hAnsi="Arial" w:cs="Arial"/>
          <w:sz w:val="32"/>
          <w:szCs w:val="32"/>
        </w:rPr>
        <w:t xml:space="preserve"> We are working closely with the American Chemistry Council’s </w:t>
      </w:r>
      <w:proofErr w:type="spellStart"/>
      <w:r>
        <w:rPr>
          <w:rFonts w:ascii="Arial" w:hAnsi="Arial" w:cs="Arial"/>
          <w:sz w:val="32"/>
          <w:szCs w:val="32"/>
        </w:rPr>
        <w:t>FluoroCouncil</w:t>
      </w:r>
      <w:proofErr w:type="spellEnd"/>
      <w:r>
        <w:rPr>
          <w:rFonts w:ascii="Arial" w:hAnsi="Arial" w:cs="Arial"/>
          <w:sz w:val="32"/>
          <w:szCs w:val="32"/>
        </w:rPr>
        <w:t xml:space="preserve"> to determine what additional tactics to consider.</w:t>
      </w:r>
      <w:bookmarkStart w:id="0" w:name="_GoBack"/>
      <w:bookmarkEnd w:id="0"/>
    </w:p>
    <w:sectPr w:rsidR="00E52B17" w:rsidSect="00135B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B17"/>
    <w:rsid w:val="00135B8B"/>
    <w:rsid w:val="00A1793E"/>
    <w:rsid w:val="00E52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A05C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B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2B1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B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2B1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411</Words>
  <Characters>2348</Characters>
  <Application>Microsoft Macintosh Word</Application>
  <DocSecurity>0</DocSecurity>
  <Lines>19</Lines>
  <Paragraphs>5</Paragraphs>
  <ScaleCrop>false</ScaleCrop>
  <Company>Markens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Kornet</dc:creator>
  <cp:keywords/>
  <dc:description/>
  <cp:lastModifiedBy>Lou Kornet</cp:lastModifiedBy>
  <cp:revision>1</cp:revision>
  <dcterms:created xsi:type="dcterms:W3CDTF">2017-05-10T13:38:00Z</dcterms:created>
  <dcterms:modified xsi:type="dcterms:W3CDTF">2017-05-10T13:45:00Z</dcterms:modified>
</cp:coreProperties>
</file>